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C0" w:rsidRDefault="00B43D8E" w:rsidP="002919C0">
      <w:pPr>
        <w:spacing w:after="0" w:line="240" w:lineRule="auto"/>
        <w:jc w:val="right"/>
        <w:rPr>
          <w:rFonts w:cs="Arial"/>
          <w:b/>
          <w:sz w:val="24"/>
          <w:szCs w:val="24"/>
        </w:rPr>
      </w:pPr>
      <w:bookmarkStart w:id="0" w:name="_GoBack"/>
      <w:bookmarkEnd w:id="0"/>
    </w:p>
    <w:p w:rsidR="001D3DC8" w:rsidRPr="005431C7" w:rsidRDefault="00B43D8E" w:rsidP="001D3DC8">
      <w:pPr>
        <w:spacing w:after="0" w:line="240" w:lineRule="auto"/>
        <w:rPr>
          <w:rFonts w:cs="Arial"/>
          <w:b/>
          <w:sz w:val="24"/>
          <w:szCs w:val="24"/>
        </w:rPr>
      </w:pPr>
      <w:r w:rsidRPr="005431C7">
        <w:rPr>
          <w:rFonts w:cs="Arial"/>
          <w:b/>
          <w:sz w:val="24"/>
          <w:szCs w:val="24"/>
        </w:rPr>
        <w:t>2017/18 National Productivity Investment Fund</w:t>
      </w:r>
      <w:r>
        <w:rPr>
          <w:rFonts w:cs="Arial"/>
          <w:b/>
          <w:sz w:val="24"/>
          <w:szCs w:val="24"/>
        </w:rPr>
        <w:t xml:space="preserve"> (NPIF) Direct Grant A</w:t>
      </w:r>
      <w:r w:rsidRPr="005431C7">
        <w:rPr>
          <w:rFonts w:cs="Arial"/>
          <w:b/>
          <w:sz w:val="24"/>
          <w:szCs w:val="24"/>
        </w:rPr>
        <w:t>ward - Proposed Programme</w:t>
      </w:r>
    </w:p>
    <w:p w:rsidR="001D3DC8" w:rsidRPr="005431C7" w:rsidRDefault="00B43D8E" w:rsidP="001D3DC8">
      <w:pPr>
        <w:spacing w:after="0" w:line="240" w:lineRule="auto"/>
        <w:rPr>
          <w:rFonts w:cs="Arial"/>
          <w:b/>
          <w:sz w:val="24"/>
          <w:szCs w:val="24"/>
        </w:rPr>
      </w:pPr>
    </w:p>
    <w:tbl>
      <w:tblPr>
        <w:tblStyle w:val="TableGrid"/>
        <w:tblW w:w="14737" w:type="dxa"/>
        <w:tblLook w:val="04A0" w:firstRow="1" w:lastRow="0" w:firstColumn="1" w:lastColumn="0" w:noHBand="0" w:noVBand="1"/>
      </w:tblPr>
      <w:tblGrid>
        <w:gridCol w:w="1980"/>
        <w:gridCol w:w="4819"/>
        <w:gridCol w:w="1843"/>
        <w:gridCol w:w="6095"/>
      </w:tblGrid>
      <w:tr w:rsidR="00F5339A" w:rsidTr="00B8700A">
        <w:trPr>
          <w:tblHeader/>
        </w:trPr>
        <w:tc>
          <w:tcPr>
            <w:tcW w:w="1980" w:type="dxa"/>
            <w:shd w:val="clear" w:color="auto" w:fill="D9D9D9" w:themeFill="background1" w:themeFillShade="D9"/>
          </w:tcPr>
          <w:p w:rsidR="001D3DC8" w:rsidRPr="00D06FE3" w:rsidRDefault="00B43D8E" w:rsidP="00B8700A">
            <w:pPr>
              <w:keepNext/>
              <w:rPr>
                <w:b/>
              </w:rPr>
            </w:pPr>
            <w:r w:rsidRPr="00D06FE3">
              <w:rPr>
                <w:b/>
              </w:rPr>
              <w:t>Project Name</w:t>
            </w:r>
          </w:p>
        </w:tc>
        <w:tc>
          <w:tcPr>
            <w:tcW w:w="4819" w:type="dxa"/>
            <w:shd w:val="clear" w:color="auto" w:fill="D9D9D9" w:themeFill="background1" w:themeFillShade="D9"/>
          </w:tcPr>
          <w:p w:rsidR="001D3DC8" w:rsidRPr="00D06FE3" w:rsidRDefault="00B43D8E" w:rsidP="00B8700A">
            <w:pPr>
              <w:keepNext/>
              <w:rPr>
                <w:b/>
              </w:rPr>
            </w:pPr>
            <w:r w:rsidRPr="00D06FE3">
              <w:rPr>
                <w:b/>
              </w:rPr>
              <w:t>Project Description</w:t>
            </w:r>
          </w:p>
        </w:tc>
        <w:tc>
          <w:tcPr>
            <w:tcW w:w="1843" w:type="dxa"/>
            <w:shd w:val="clear" w:color="auto" w:fill="D9D9D9" w:themeFill="background1" w:themeFillShade="D9"/>
          </w:tcPr>
          <w:p w:rsidR="001D3DC8" w:rsidRPr="00D06FE3" w:rsidRDefault="00B43D8E" w:rsidP="00B8700A">
            <w:pPr>
              <w:keepNext/>
              <w:jc w:val="center"/>
              <w:rPr>
                <w:b/>
              </w:rPr>
            </w:pPr>
            <w:r w:rsidRPr="00D06FE3">
              <w:rPr>
                <w:b/>
              </w:rPr>
              <w:t xml:space="preserve">Forecast Budget Required </w:t>
            </w:r>
            <w:r w:rsidRPr="00D06FE3">
              <w:rPr>
                <w:rFonts w:cs="Arial"/>
                <w:b/>
              </w:rPr>
              <w:t>(£m's)</w:t>
            </w:r>
          </w:p>
        </w:tc>
        <w:tc>
          <w:tcPr>
            <w:tcW w:w="6095" w:type="dxa"/>
            <w:shd w:val="clear" w:color="auto" w:fill="D9D9D9" w:themeFill="background1" w:themeFillShade="D9"/>
          </w:tcPr>
          <w:p w:rsidR="001D3DC8" w:rsidRPr="00D06FE3" w:rsidRDefault="00B43D8E" w:rsidP="00B8700A">
            <w:pPr>
              <w:keepNext/>
              <w:jc w:val="center"/>
              <w:rPr>
                <w:b/>
              </w:rPr>
            </w:pPr>
            <w:r w:rsidRPr="00D06FE3">
              <w:rPr>
                <w:b/>
              </w:rPr>
              <w:t>Justification</w:t>
            </w:r>
          </w:p>
        </w:tc>
      </w:tr>
      <w:tr w:rsidR="00F5339A" w:rsidTr="00B8700A">
        <w:tc>
          <w:tcPr>
            <w:tcW w:w="1980" w:type="dxa"/>
          </w:tcPr>
          <w:p w:rsidR="001D3DC8" w:rsidRPr="00D06FE3" w:rsidRDefault="00B43D8E" w:rsidP="00B8700A">
            <w:r w:rsidRPr="00D06FE3">
              <w:t>M65 Growth Corridor Improvem</w:t>
            </w:r>
            <w:r>
              <w:t xml:space="preserve">ents: Junction 8, Junction 9 and </w:t>
            </w:r>
            <w:r w:rsidRPr="00D06FE3">
              <w:t xml:space="preserve"> Junction 10</w:t>
            </w:r>
            <w:r>
              <w:t xml:space="preserve"> </w:t>
            </w:r>
          </w:p>
        </w:tc>
        <w:tc>
          <w:tcPr>
            <w:tcW w:w="4819" w:type="dxa"/>
          </w:tcPr>
          <w:p w:rsidR="001D3DC8" w:rsidRPr="00DB5CC0" w:rsidRDefault="00B43D8E" w:rsidP="00B8700A">
            <w:r w:rsidRPr="00DB5CC0">
              <w:t xml:space="preserve">Junction improvements to provide additional capacity in support of new development.  </w:t>
            </w:r>
          </w:p>
          <w:p w:rsidR="001D3DC8" w:rsidRPr="00DB5CC0" w:rsidRDefault="00B43D8E" w:rsidP="00B8700A">
            <w:r w:rsidRPr="00DB5CC0">
              <w:rPr>
                <w:u w:val="single"/>
              </w:rPr>
              <w:t>Junction 8:</w:t>
            </w:r>
            <w:r w:rsidRPr="00DB5CC0">
              <w:t xml:space="preserve"> Full signalisation of the roundabout linking the A56T and A6068 with the M65.  </w:t>
            </w:r>
          </w:p>
          <w:p w:rsidR="001D3DC8" w:rsidRPr="00DB5CC0" w:rsidRDefault="00B43D8E" w:rsidP="00B8700A">
            <w:r w:rsidRPr="00DB5CC0">
              <w:rPr>
                <w:u w:val="single"/>
              </w:rPr>
              <w:t>Junction 9:</w:t>
            </w:r>
            <w:r w:rsidRPr="00DB5CC0">
              <w:t xml:space="preserve"> Provision of a right turn lane from Burnley Bridge B</w:t>
            </w:r>
            <w:r w:rsidRPr="00DB5CC0">
              <w:t xml:space="preserve">usiness Park onto the westbound on slip; preliminary investigation of replacing the Bentley Wood roundabout with a four arm traffic signal junction.  </w:t>
            </w:r>
          </w:p>
          <w:p w:rsidR="001D3DC8" w:rsidRPr="00D06FE3" w:rsidRDefault="00B43D8E" w:rsidP="00B8700A">
            <w:r w:rsidRPr="00DB5CC0">
              <w:rPr>
                <w:u w:val="single"/>
              </w:rPr>
              <w:t>Junction 10:</w:t>
            </w:r>
            <w:r>
              <w:t xml:space="preserve"> S</w:t>
            </w:r>
            <w:r w:rsidRPr="00DB5CC0">
              <w:t>ignalisation to provide a direct right turn to the west b</w:t>
            </w:r>
            <w:r>
              <w:t>o</w:t>
            </w:r>
            <w:r w:rsidRPr="00DB5CC0">
              <w:t>und on slip</w:t>
            </w:r>
          </w:p>
        </w:tc>
        <w:tc>
          <w:tcPr>
            <w:tcW w:w="1843" w:type="dxa"/>
          </w:tcPr>
          <w:p w:rsidR="001D3DC8" w:rsidRPr="00D06FE3" w:rsidRDefault="00B43D8E" w:rsidP="00B8700A">
            <w:pPr>
              <w:jc w:val="center"/>
            </w:pPr>
            <w:r>
              <w:t>£0.419</w:t>
            </w:r>
          </w:p>
        </w:tc>
        <w:tc>
          <w:tcPr>
            <w:tcW w:w="6095" w:type="dxa"/>
          </w:tcPr>
          <w:p w:rsidR="001D3DC8" w:rsidRDefault="00B43D8E" w:rsidP="00B8700A">
            <w:r>
              <w:t xml:space="preserve">Previous Cabinet approval has already been secured to fund </w:t>
            </w:r>
            <w:r w:rsidRPr="00B915AF">
              <w:t>advanced design work in relation to these junctions (£0.200 million) together with a match funding contribution (£0.219 million) should the bid to the Growth and Housing Fund be successful.</w:t>
            </w:r>
          </w:p>
          <w:p w:rsidR="001D3DC8" w:rsidRPr="00D06FE3" w:rsidRDefault="00B43D8E" w:rsidP="00B8700A">
            <w:r>
              <w:t xml:space="preserve"> </w:t>
            </w:r>
          </w:p>
        </w:tc>
      </w:tr>
      <w:tr w:rsidR="00F5339A" w:rsidTr="00B8700A">
        <w:tc>
          <w:tcPr>
            <w:tcW w:w="1980" w:type="dxa"/>
          </w:tcPr>
          <w:p w:rsidR="001D3DC8" w:rsidRPr="00D06FE3" w:rsidRDefault="00B43D8E" w:rsidP="00B8700A">
            <w:r w:rsidRPr="00D06FE3">
              <w:t>A583</w:t>
            </w:r>
            <w:r w:rsidRPr="00D06FE3">
              <w:t xml:space="preserve"> Riversway Corridor - Preston</w:t>
            </w:r>
          </w:p>
        </w:tc>
        <w:tc>
          <w:tcPr>
            <w:tcW w:w="4819" w:type="dxa"/>
          </w:tcPr>
          <w:p w:rsidR="001D3DC8" w:rsidRPr="00D06FE3" w:rsidRDefault="00B43D8E" w:rsidP="00B8700A">
            <w:r w:rsidRPr="00D06FE3">
              <w:rPr>
                <w:rFonts w:cs="Arial"/>
              </w:rPr>
              <w:t xml:space="preserve">The scheme comprises physical works and upgrades of technology to provide a comprehensive solution to congestion and maximise efficiency of existing network capacity to </w:t>
            </w:r>
            <w:r w:rsidRPr="00D06FE3">
              <w:rPr>
                <w:bCs/>
              </w:rPr>
              <w:t>unlock investor potential, create new jobs and support de</w:t>
            </w:r>
            <w:r w:rsidRPr="00D06FE3">
              <w:rPr>
                <w:bCs/>
              </w:rPr>
              <w:t>livery of residential developments.</w:t>
            </w:r>
          </w:p>
        </w:tc>
        <w:tc>
          <w:tcPr>
            <w:tcW w:w="1843" w:type="dxa"/>
          </w:tcPr>
          <w:p w:rsidR="001D3DC8" w:rsidRPr="00D06FE3" w:rsidRDefault="00B43D8E" w:rsidP="00B8700A">
            <w:pPr>
              <w:jc w:val="center"/>
            </w:pPr>
            <w:r w:rsidRPr="00D06FE3">
              <w:t>£</w:t>
            </w:r>
            <w:r>
              <w:t>0.950</w:t>
            </w:r>
          </w:p>
        </w:tc>
        <w:tc>
          <w:tcPr>
            <w:tcW w:w="6095" w:type="dxa"/>
          </w:tcPr>
          <w:p w:rsidR="001D3DC8" w:rsidRPr="00D06FE3" w:rsidRDefault="00B43D8E" w:rsidP="00B8700A">
            <w:r w:rsidRPr="00D06FE3">
              <w:t>The completion of the Penwortham Bypass and the Preston Western Distributor will create a continuous distributor road to the west of the contiguous Preston urban area.  This road will link the M6, M61 and M65 at i</w:t>
            </w:r>
            <w:r w:rsidRPr="00D06FE3">
              <w:t xml:space="preserve">ts southern end at Bamber Bridge with the A59 and A583/A584 routes either side of the River Ribble and to the M55 at its northern end near Bartle. </w:t>
            </w:r>
            <w:r w:rsidRPr="00D06FE3">
              <w:rPr>
                <w:rFonts w:cs="Arial"/>
              </w:rPr>
              <w:t>In the absence of a new Ribble Crossing, Riversway, Watery Lane and West Strand will form an integral part of</w:t>
            </w:r>
            <w:r w:rsidRPr="00D06FE3">
              <w:rPr>
                <w:rFonts w:cs="Arial"/>
              </w:rPr>
              <w:t xml:space="preserve"> the contiguous Preston/South Ribble Western Distributor road.  </w:t>
            </w:r>
          </w:p>
        </w:tc>
      </w:tr>
      <w:tr w:rsidR="00F5339A" w:rsidTr="00B8700A">
        <w:tc>
          <w:tcPr>
            <w:tcW w:w="1980" w:type="dxa"/>
          </w:tcPr>
          <w:p w:rsidR="001D3DC8" w:rsidRPr="00D06FE3" w:rsidRDefault="00B43D8E" w:rsidP="00B8700A">
            <w:pPr>
              <w:rPr>
                <w:color w:val="000000"/>
              </w:rPr>
            </w:pPr>
            <w:r w:rsidRPr="00D06FE3">
              <w:rPr>
                <w:color w:val="000000"/>
              </w:rPr>
              <w:t>M6 Junction 31 Improvements including  A59/A677 Swallow Hotel Junction Improvements, Samlesbury</w:t>
            </w:r>
          </w:p>
        </w:tc>
        <w:tc>
          <w:tcPr>
            <w:tcW w:w="4819" w:type="dxa"/>
          </w:tcPr>
          <w:p w:rsidR="001D3DC8" w:rsidRDefault="00B43D8E" w:rsidP="00B8700A">
            <w:pPr>
              <w:rPr>
                <w:rFonts w:cs="Arial"/>
              </w:rPr>
            </w:pPr>
            <w:r w:rsidRPr="00D06FE3">
              <w:rPr>
                <w:rFonts w:cs="Arial"/>
              </w:rPr>
              <w:t xml:space="preserve">Improvements to the junction 31 will comprise </w:t>
            </w:r>
            <w:r>
              <w:rPr>
                <w:rFonts w:cs="Arial"/>
              </w:rPr>
              <w:t xml:space="preserve">of </w:t>
            </w:r>
            <w:r w:rsidRPr="00D06FE3">
              <w:rPr>
                <w:rFonts w:cs="Arial"/>
              </w:rPr>
              <w:t>changes to signing and lining and to traf</w:t>
            </w:r>
            <w:r w:rsidRPr="00D06FE3">
              <w:rPr>
                <w:rFonts w:cs="Arial"/>
              </w:rPr>
              <w:t xml:space="preserve">fic signal phasing. </w:t>
            </w:r>
          </w:p>
          <w:p w:rsidR="001D3DC8" w:rsidRPr="00D06FE3" w:rsidRDefault="00B43D8E" w:rsidP="00B8700A">
            <w:pPr>
              <w:rPr>
                <w:rFonts w:cs="Arial"/>
              </w:rPr>
            </w:pPr>
          </w:p>
          <w:p w:rsidR="001D3DC8" w:rsidRPr="00D06FE3" w:rsidRDefault="00B43D8E" w:rsidP="00B8700A">
            <w:pPr>
              <w:rPr>
                <w:rFonts w:cs="Arial"/>
              </w:rPr>
            </w:pPr>
            <w:r w:rsidRPr="00D06FE3">
              <w:rPr>
                <w:rFonts w:cs="Arial"/>
              </w:rPr>
              <w:t xml:space="preserve">Improvements to the </w:t>
            </w:r>
            <w:r w:rsidRPr="00D06FE3">
              <w:rPr>
                <w:color w:val="000000"/>
              </w:rPr>
              <w:t xml:space="preserve">A59/A677 Swallow Hotel Junction </w:t>
            </w:r>
            <w:r w:rsidRPr="00D06FE3">
              <w:rPr>
                <w:rFonts w:cs="Arial"/>
              </w:rPr>
              <w:t>will comprise of changes to signing and lining and to traffic signal phasing, along with some carriageway widening to reflect different traffic flow patterns</w:t>
            </w:r>
            <w:r>
              <w:rPr>
                <w:rFonts w:cs="Arial"/>
              </w:rPr>
              <w:t>.</w:t>
            </w:r>
          </w:p>
          <w:p w:rsidR="001D3DC8" w:rsidRPr="00D06FE3" w:rsidRDefault="00B43D8E" w:rsidP="00B8700A"/>
        </w:tc>
        <w:tc>
          <w:tcPr>
            <w:tcW w:w="1843" w:type="dxa"/>
          </w:tcPr>
          <w:p w:rsidR="001D3DC8" w:rsidRPr="00D06FE3" w:rsidRDefault="00B43D8E" w:rsidP="00B8700A">
            <w:pPr>
              <w:jc w:val="center"/>
            </w:pPr>
            <w:r>
              <w:t>£1.</w:t>
            </w:r>
            <w:r w:rsidRPr="00D06FE3">
              <w:t>000</w:t>
            </w:r>
          </w:p>
        </w:tc>
        <w:tc>
          <w:tcPr>
            <w:tcW w:w="6095" w:type="dxa"/>
          </w:tcPr>
          <w:p w:rsidR="001D3DC8" w:rsidRPr="00D06FE3" w:rsidRDefault="00B43D8E" w:rsidP="00B8700A">
            <w:r w:rsidRPr="00D06FE3">
              <w:t xml:space="preserve">M6 Junction 31 </w:t>
            </w:r>
            <w:r w:rsidRPr="00D06FE3">
              <w:t>-</w:t>
            </w:r>
            <w:r w:rsidRPr="00D06FE3">
              <w:rPr>
                <w:rFonts w:cs="Arial"/>
              </w:rPr>
              <w:t xml:space="preserve"> Cyclists experience difficulties negotiating the junction whilst travelling between Preston and the Enterprise Zone.  The Warton to Samlesbury Route Management Strategy (Jacobs, January 2014) recommended improvements to this junction to mitigate the impa</w:t>
            </w:r>
            <w:r w:rsidRPr="00D06FE3">
              <w:rPr>
                <w:rFonts w:cs="Arial"/>
              </w:rPr>
              <w:t>cts that ongoing development of the Samlesbury Enterprise Zone site would be likely to generate</w:t>
            </w:r>
            <w:r w:rsidRPr="00D06FE3">
              <w:t>.</w:t>
            </w:r>
          </w:p>
          <w:p w:rsidR="001D3DC8" w:rsidRPr="00D06FE3" w:rsidRDefault="00B43D8E" w:rsidP="00B8700A">
            <w:r w:rsidRPr="00D06FE3">
              <w:rPr>
                <w:color w:val="000000"/>
              </w:rPr>
              <w:t xml:space="preserve">A59/A677 Swallow Hotel Junction - </w:t>
            </w:r>
            <w:r w:rsidRPr="00D06FE3">
              <w:rPr>
                <w:rFonts w:cs="Arial"/>
              </w:rPr>
              <w:t>This junction is on the key route linking Preston and M6 Junction 31 with the Enterprise Zone site at Samlesbury.  A signific</w:t>
            </w:r>
            <w:r w:rsidRPr="00D06FE3">
              <w:rPr>
                <w:rFonts w:cs="Arial"/>
              </w:rPr>
              <w:t xml:space="preserve">ant upgrade of the junction was completed a number of years ago; however, changing traffic patterns arising from the forthcoming opening of the Enterprise Zone access onto the A677 will </w:t>
            </w:r>
            <w:r>
              <w:rPr>
                <w:rFonts w:cs="Arial"/>
              </w:rPr>
              <w:t xml:space="preserve">mean improvements will be </w:t>
            </w:r>
            <w:r w:rsidRPr="00D06FE3">
              <w:rPr>
                <w:rFonts w:cs="Arial"/>
              </w:rPr>
              <w:lastRenderedPageBreak/>
              <w:t>necessary to ensure the junction continues t</w:t>
            </w:r>
            <w:r w:rsidRPr="00D06FE3">
              <w:rPr>
                <w:rFonts w:cs="Arial"/>
              </w:rPr>
              <w:t>o operate satisfactorily.</w:t>
            </w:r>
          </w:p>
        </w:tc>
      </w:tr>
      <w:tr w:rsidR="00F5339A" w:rsidTr="00B8700A">
        <w:tc>
          <w:tcPr>
            <w:tcW w:w="1980" w:type="dxa"/>
          </w:tcPr>
          <w:p w:rsidR="001D3DC8" w:rsidRPr="00D06FE3" w:rsidRDefault="00B43D8E" w:rsidP="00B8700A">
            <w:pPr>
              <w:rPr>
                <w:color w:val="000000"/>
              </w:rPr>
            </w:pPr>
            <w:r w:rsidRPr="00D06FE3">
              <w:rPr>
                <w:color w:val="000000"/>
              </w:rPr>
              <w:lastRenderedPageBreak/>
              <w:t>M65 Junction 13 Eastern Roundabout</w:t>
            </w:r>
          </w:p>
        </w:tc>
        <w:tc>
          <w:tcPr>
            <w:tcW w:w="4819" w:type="dxa"/>
          </w:tcPr>
          <w:p w:rsidR="001D3DC8" w:rsidRPr="00D06FE3" w:rsidRDefault="00B43D8E" w:rsidP="00B8700A">
            <w:r w:rsidRPr="00DB5CC0">
              <w:t>Signalisation of the eastern roundabout at M65 Junction 13 along with improved cycling and pedestrian links.</w:t>
            </w:r>
          </w:p>
        </w:tc>
        <w:tc>
          <w:tcPr>
            <w:tcW w:w="1843" w:type="dxa"/>
          </w:tcPr>
          <w:p w:rsidR="001D3DC8" w:rsidRPr="00D06FE3" w:rsidRDefault="00B43D8E" w:rsidP="00B8700A">
            <w:pPr>
              <w:jc w:val="center"/>
            </w:pPr>
            <w:r>
              <w:t>£1.700</w:t>
            </w:r>
          </w:p>
        </w:tc>
        <w:tc>
          <w:tcPr>
            <w:tcW w:w="6095" w:type="dxa"/>
          </w:tcPr>
          <w:p w:rsidR="001D3DC8" w:rsidRPr="00D06FE3" w:rsidRDefault="00B43D8E" w:rsidP="00B8700A">
            <w:pPr>
              <w:rPr>
                <w:rFonts w:cs="Arial"/>
              </w:rPr>
            </w:pPr>
            <w:r>
              <w:rPr>
                <w:rFonts w:cs="Arial"/>
              </w:rPr>
              <w:t>The county c</w:t>
            </w:r>
            <w:r w:rsidRPr="00D06FE3">
              <w:rPr>
                <w:rFonts w:cs="Arial"/>
              </w:rPr>
              <w:t xml:space="preserve">ouncil has completed a major upgrade of the western roundabout at </w:t>
            </w:r>
            <w:r w:rsidRPr="00D06FE3">
              <w:rPr>
                <w:rFonts w:cs="Arial"/>
              </w:rPr>
              <w:t>this junction as part of the Hyndburn-Burnley-Pendle Growth Corridor programme.  Due to budget pressures, it has not proved possible to deliver the planned improvement of the eastern roundabout.  It will support a planned major extension to the Lomeshaye I</w:t>
            </w:r>
            <w:r w:rsidRPr="00D06FE3">
              <w:rPr>
                <w:rFonts w:cs="Arial"/>
              </w:rPr>
              <w:t>ndustrial Estate in Nelson, which is part funded by the Lancashire Enterprise Partnership through its Local Growth Deal 3 programme.</w:t>
            </w:r>
          </w:p>
        </w:tc>
      </w:tr>
      <w:tr w:rsidR="00F5339A" w:rsidTr="00B8700A">
        <w:trPr>
          <w:trHeight w:val="1215"/>
        </w:trPr>
        <w:tc>
          <w:tcPr>
            <w:tcW w:w="1980" w:type="dxa"/>
          </w:tcPr>
          <w:p w:rsidR="001D3DC8" w:rsidRPr="00D06FE3" w:rsidRDefault="00B43D8E" w:rsidP="00B8700A">
            <w:pPr>
              <w:rPr>
                <w:color w:val="000000"/>
              </w:rPr>
            </w:pPr>
            <w:r w:rsidRPr="00D06FE3">
              <w:rPr>
                <w:color w:val="000000"/>
              </w:rPr>
              <w:t>Vivary Way / North Valley Road Improvements Colne</w:t>
            </w:r>
          </w:p>
        </w:tc>
        <w:tc>
          <w:tcPr>
            <w:tcW w:w="4819" w:type="dxa"/>
          </w:tcPr>
          <w:p w:rsidR="001D3DC8" w:rsidRPr="00D06FE3" w:rsidRDefault="00B43D8E" w:rsidP="00B8700A">
            <w:r w:rsidRPr="00D06FE3">
              <w:rPr>
                <w:rFonts w:cs="Arial"/>
              </w:rPr>
              <w:t>The scheme comprises a package of junction and network management improv</w:t>
            </w:r>
            <w:r w:rsidRPr="00D06FE3">
              <w:rPr>
                <w:rFonts w:cs="Arial"/>
              </w:rPr>
              <w:t>ements to improve traffic flow and reduce accident risks along the route.</w:t>
            </w:r>
          </w:p>
        </w:tc>
        <w:tc>
          <w:tcPr>
            <w:tcW w:w="1843" w:type="dxa"/>
          </w:tcPr>
          <w:p w:rsidR="001D3DC8" w:rsidRPr="00D06FE3" w:rsidRDefault="00B43D8E" w:rsidP="00B8700A">
            <w:pPr>
              <w:jc w:val="center"/>
            </w:pPr>
            <w:r w:rsidRPr="00D06FE3">
              <w:t>£</w:t>
            </w:r>
            <w:r>
              <w:t>0.586</w:t>
            </w:r>
          </w:p>
        </w:tc>
        <w:tc>
          <w:tcPr>
            <w:tcW w:w="6095" w:type="dxa"/>
          </w:tcPr>
          <w:p w:rsidR="00E6524C" w:rsidRDefault="00B43D8E" w:rsidP="00E6524C">
            <w:pPr>
              <w:rPr>
                <w:rFonts w:cs="Arial"/>
              </w:rPr>
            </w:pPr>
            <w:r w:rsidRPr="00D06FE3">
              <w:rPr>
                <w:rFonts w:cs="Arial"/>
              </w:rPr>
              <w:t>The A6068 through Colne forms part of an inter-regional route between the M65 and North and West Yorkshire.  In addition, it provides access to numerous retail developments an</w:t>
            </w:r>
            <w:r w:rsidRPr="00D06FE3">
              <w:rPr>
                <w:rFonts w:cs="Arial"/>
              </w:rPr>
              <w:t xml:space="preserve">d the combination of through and local </w:t>
            </w:r>
            <w:r w:rsidRPr="00035B6E">
              <w:rPr>
                <w:rFonts w:cs="Arial"/>
              </w:rPr>
              <w:t>traffic movements' results in significant congestion during peak periods and increasingly at other times of the day and at weekends.  The part dual, part single carriageway road carries over 26,000 vehicles per day in</w:t>
            </w:r>
            <w:r w:rsidRPr="00035B6E">
              <w:rPr>
                <w:rFonts w:cs="Arial"/>
              </w:rPr>
              <w:t xml:space="preserve">cluding over 1,000 </w:t>
            </w:r>
            <w:r>
              <w:rPr>
                <w:rFonts w:cs="Arial"/>
              </w:rPr>
              <w:t>HGV's</w:t>
            </w:r>
            <w:r w:rsidRPr="004C77A2">
              <w:rPr>
                <w:rFonts w:cs="Arial"/>
              </w:rPr>
              <w:t xml:space="preserve">.  </w:t>
            </w:r>
          </w:p>
          <w:p w:rsidR="00E6524C" w:rsidRDefault="00B43D8E" w:rsidP="00E6524C">
            <w:pPr>
              <w:rPr>
                <w:rFonts w:cs="Arial"/>
              </w:rPr>
            </w:pPr>
          </w:p>
          <w:p w:rsidR="001D3DC8" w:rsidRPr="00D06FE3" w:rsidRDefault="00B43D8E" w:rsidP="00E6524C">
            <w:r>
              <w:rPr>
                <w:rFonts w:cs="Arial"/>
              </w:rPr>
              <w:t xml:space="preserve">An allocation of £1.7 million has previously been approved for these works from the </w:t>
            </w:r>
            <w:r w:rsidRPr="004C77A2">
              <w:rPr>
                <w:rFonts w:cs="Arial"/>
              </w:rPr>
              <w:t>Integra</w:t>
            </w:r>
            <w:r>
              <w:rPr>
                <w:rFonts w:cs="Arial"/>
              </w:rPr>
              <w:t>ted Transport capital allocation. In view of the proposed contribution from the NPIF fund it is proposed that the Integrated Transport a</w:t>
            </w:r>
            <w:r>
              <w:rPr>
                <w:rFonts w:cs="Arial"/>
              </w:rPr>
              <w:t xml:space="preserve">llocation is reduced to £0.414 million </w:t>
            </w:r>
          </w:p>
        </w:tc>
      </w:tr>
      <w:tr w:rsidR="00F5339A" w:rsidTr="00B8700A">
        <w:tc>
          <w:tcPr>
            <w:tcW w:w="6799" w:type="dxa"/>
            <w:gridSpan w:val="2"/>
            <w:vAlign w:val="center"/>
          </w:tcPr>
          <w:p w:rsidR="001D3DC8" w:rsidRPr="00FE4370" w:rsidRDefault="00B43D8E" w:rsidP="00B8700A">
            <w:pPr>
              <w:jc w:val="right"/>
              <w:rPr>
                <w:b/>
              </w:rPr>
            </w:pPr>
            <w:r w:rsidRPr="00FE4370">
              <w:rPr>
                <w:b/>
              </w:rPr>
              <w:t>Sub Total</w:t>
            </w:r>
          </w:p>
        </w:tc>
        <w:tc>
          <w:tcPr>
            <w:tcW w:w="1843" w:type="dxa"/>
            <w:vAlign w:val="center"/>
          </w:tcPr>
          <w:p w:rsidR="001D3DC8" w:rsidRPr="00FE4370" w:rsidRDefault="00B43D8E" w:rsidP="00B8700A">
            <w:pPr>
              <w:jc w:val="center"/>
              <w:rPr>
                <w:b/>
              </w:rPr>
            </w:pPr>
            <w:r>
              <w:rPr>
                <w:b/>
              </w:rPr>
              <w:t>£4.655</w:t>
            </w:r>
          </w:p>
        </w:tc>
        <w:tc>
          <w:tcPr>
            <w:tcW w:w="6095" w:type="dxa"/>
          </w:tcPr>
          <w:p w:rsidR="001D3DC8" w:rsidRPr="00D06FE3" w:rsidRDefault="00B43D8E" w:rsidP="00B8700A"/>
        </w:tc>
      </w:tr>
    </w:tbl>
    <w:p w:rsidR="001D3DC8" w:rsidRPr="00D06FE3" w:rsidRDefault="00B43D8E" w:rsidP="001D3DC8">
      <w:pPr>
        <w:keepNext/>
        <w:spacing w:after="0" w:line="240" w:lineRule="auto"/>
        <w:rPr>
          <w:rFonts w:cs="Arial"/>
        </w:rPr>
      </w:pPr>
    </w:p>
    <w:p w:rsidR="00E55045" w:rsidRDefault="00B43D8E"/>
    <w:sectPr w:rsidR="00E55045" w:rsidSect="00434408">
      <w:pgSz w:w="16839"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D6704"/>
    <w:multiLevelType w:val="hybridMultilevel"/>
    <w:tmpl w:val="93943BEE"/>
    <w:lvl w:ilvl="0" w:tplc="9BEE7082">
      <w:start w:val="1"/>
      <w:numFmt w:val="bullet"/>
      <w:lvlText w:val=""/>
      <w:lvlJc w:val="left"/>
      <w:pPr>
        <w:ind w:left="720" w:hanging="360"/>
      </w:pPr>
      <w:rPr>
        <w:rFonts w:ascii="Symbol" w:hAnsi="Symbol" w:hint="default"/>
      </w:rPr>
    </w:lvl>
    <w:lvl w:ilvl="1" w:tplc="92869C48" w:tentative="1">
      <w:start w:val="1"/>
      <w:numFmt w:val="bullet"/>
      <w:lvlText w:val="o"/>
      <w:lvlJc w:val="left"/>
      <w:pPr>
        <w:ind w:left="1440" w:hanging="360"/>
      </w:pPr>
      <w:rPr>
        <w:rFonts w:ascii="Courier New" w:hAnsi="Courier New" w:cs="Courier New" w:hint="default"/>
      </w:rPr>
    </w:lvl>
    <w:lvl w:ilvl="2" w:tplc="0564371A" w:tentative="1">
      <w:start w:val="1"/>
      <w:numFmt w:val="bullet"/>
      <w:lvlText w:val=""/>
      <w:lvlJc w:val="left"/>
      <w:pPr>
        <w:ind w:left="2160" w:hanging="360"/>
      </w:pPr>
      <w:rPr>
        <w:rFonts w:ascii="Wingdings" w:hAnsi="Wingdings" w:hint="default"/>
      </w:rPr>
    </w:lvl>
    <w:lvl w:ilvl="3" w:tplc="689E0462" w:tentative="1">
      <w:start w:val="1"/>
      <w:numFmt w:val="bullet"/>
      <w:lvlText w:val=""/>
      <w:lvlJc w:val="left"/>
      <w:pPr>
        <w:ind w:left="2880" w:hanging="360"/>
      </w:pPr>
      <w:rPr>
        <w:rFonts w:ascii="Symbol" w:hAnsi="Symbol" w:hint="default"/>
      </w:rPr>
    </w:lvl>
    <w:lvl w:ilvl="4" w:tplc="7646D08A" w:tentative="1">
      <w:start w:val="1"/>
      <w:numFmt w:val="bullet"/>
      <w:lvlText w:val="o"/>
      <w:lvlJc w:val="left"/>
      <w:pPr>
        <w:ind w:left="3600" w:hanging="360"/>
      </w:pPr>
      <w:rPr>
        <w:rFonts w:ascii="Courier New" w:hAnsi="Courier New" w:cs="Courier New" w:hint="default"/>
      </w:rPr>
    </w:lvl>
    <w:lvl w:ilvl="5" w:tplc="DC38F68A" w:tentative="1">
      <w:start w:val="1"/>
      <w:numFmt w:val="bullet"/>
      <w:lvlText w:val=""/>
      <w:lvlJc w:val="left"/>
      <w:pPr>
        <w:ind w:left="4320" w:hanging="360"/>
      </w:pPr>
      <w:rPr>
        <w:rFonts w:ascii="Wingdings" w:hAnsi="Wingdings" w:hint="default"/>
      </w:rPr>
    </w:lvl>
    <w:lvl w:ilvl="6" w:tplc="BC7A366A" w:tentative="1">
      <w:start w:val="1"/>
      <w:numFmt w:val="bullet"/>
      <w:lvlText w:val=""/>
      <w:lvlJc w:val="left"/>
      <w:pPr>
        <w:ind w:left="5040" w:hanging="360"/>
      </w:pPr>
      <w:rPr>
        <w:rFonts w:ascii="Symbol" w:hAnsi="Symbol" w:hint="default"/>
      </w:rPr>
    </w:lvl>
    <w:lvl w:ilvl="7" w:tplc="DFA6A024" w:tentative="1">
      <w:start w:val="1"/>
      <w:numFmt w:val="bullet"/>
      <w:lvlText w:val="o"/>
      <w:lvlJc w:val="left"/>
      <w:pPr>
        <w:ind w:left="5760" w:hanging="360"/>
      </w:pPr>
      <w:rPr>
        <w:rFonts w:ascii="Courier New" w:hAnsi="Courier New" w:cs="Courier New" w:hint="default"/>
      </w:rPr>
    </w:lvl>
    <w:lvl w:ilvl="8" w:tplc="0C00BAB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9A"/>
    <w:rsid w:val="00B43D8E"/>
    <w:rsid w:val="00F5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7A056-EF01-4C43-A66F-D25D7765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Janet</dc:creator>
  <cp:lastModifiedBy>Maya Evenson</cp:lastModifiedBy>
  <cp:revision>14</cp:revision>
  <dcterms:created xsi:type="dcterms:W3CDTF">2017-12-14T11:10:00Z</dcterms:created>
  <dcterms:modified xsi:type="dcterms:W3CDTF">2017-12-29T11:47:00Z</dcterms:modified>
</cp:coreProperties>
</file>